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1EC" w:rsidRPr="00E4245D" w:rsidRDefault="009F21EC" w:rsidP="009F21EC">
      <w:pPr>
        <w:spacing w:line="480" w:lineRule="auto"/>
        <w:jc w:val="both"/>
        <w:rPr>
          <w:rFonts w:ascii="Times New Roman" w:hAnsi="Times New Roman" w:cs="Times New Roman"/>
          <w:sz w:val="24"/>
          <w:szCs w:val="24"/>
        </w:rPr>
      </w:pPr>
      <w:r w:rsidRPr="00E4245D">
        <w:rPr>
          <w:rFonts w:ascii="Times New Roman" w:hAnsi="Times New Roman" w:cs="Times New Roman"/>
          <w:sz w:val="24"/>
          <w:szCs w:val="24"/>
        </w:rPr>
        <w:t>Institution affiliation</w:t>
      </w:r>
    </w:p>
    <w:p w:rsidR="009F21EC" w:rsidRPr="00E4245D" w:rsidRDefault="009F21EC" w:rsidP="009F21EC">
      <w:pPr>
        <w:spacing w:line="480" w:lineRule="auto"/>
        <w:jc w:val="both"/>
        <w:rPr>
          <w:rFonts w:ascii="Times New Roman" w:hAnsi="Times New Roman" w:cs="Times New Roman"/>
          <w:sz w:val="24"/>
          <w:szCs w:val="24"/>
        </w:rPr>
      </w:pPr>
      <w:r w:rsidRPr="00E4245D">
        <w:rPr>
          <w:rFonts w:ascii="Times New Roman" w:hAnsi="Times New Roman" w:cs="Times New Roman"/>
          <w:sz w:val="24"/>
          <w:szCs w:val="24"/>
        </w:rPr>
        <w:t xml:space="preserve">Professor’s name </w:t>
      </w:r>
    </w:p>
    <w:p w:rsidR="009F21EC" w:rsidRPr="00E4245D" w:rsidRDefault="009F21EC" w:rsidP="009F21EC">
      <w:pPr>
        <w:spacing w:line="480" w:lineRule="auto"/>
        <w:jc w:val="both"/>
        <w:rPr>
          <w:rFonts w:ascii="Times New Roman" w:hAnsi="Times New Roman" w:cs="Times New Roman"/>
          <w:sz w:val="24"/>
          <w:szCs w:val="24"/>
        </w:rPr>
      </w:pPr>
      <w:r w:rsidRPr="00E4245D">
        <w:rPr>
          <w:rFonts w:ascii="Times New Roman" w:hAnsi="Times New Roman" w:cs="Times New Roman"/>
          <w:sz w:val="24"/>
          <w:szCs w:val="24"/>
        </w:rPr>
        <w:t>Student’s name</w:t>
      </w:r>
    </w:p>
    <w:p w:rsidR="009F21EC" w:rsidRPr="00E4245D" w:rsidRDefault="009F21EC" w:rsidP="009F21EC">
      <w:pPr>
        <w:spacing w:line="480" w:lineRule="auto"/>
        <w:jc w:val="both"/>
        <w:rPr>
          <w:rFonts w:ascii="Times New Roman" w:hAnsi="Times New Roman" w:cs="Times New Roman"/>
          <w:sz w:val="24"/>
          <w:szCs w:val="24"/>
        </w:rPr>
      </w:pPr>
      <w:r w:rsidRPr="00E4245D">
        <w:rPr>
          <w:rFonts w:ascii="Times New Roman" w:hAnsi="Times New Roman" w:cs="Times New Roman"/>
          <w:sz w:val="24"/>
          <w:szCs w:val="24"/>
        </w:rPr>
        <w:t xml:space="preserve">Program </w:t>
      </w:r>
    </w:p>
    <w:p w:rsidR="009F21EC" w:rsidRPr="00E4245D" w:rsidRDefault="009F21EC" w:rsidP="009F21EC">
      <w:pPr>
        <w:rPr>
          <w:rFonts w:ascii="Times New Roman" w:hAnsi="Times New Roman" w:cs="Times New Roman"/>
          <w:color w:val="222222"/>
          <w:sz w:val="24"/>
          <w:szCs w:val="24"/>
          <w:shd w:val="clear" w:color="auto" w:fill="FFFFFF"/>
        </w:rPr>
      </w:pPr>
      <w:r w:rsidRPr="00E4245D">
        <w:rPr>
          <w:rFonts w:ascii="Times New Roman" w:hAnsi="Times New Roman" w:cs="Times New Roman"/>
          <w:sz w:val="24"/>
          <w:szCs w:val="24"/>
        </w:rPr>
        <w:t>Date</w:t>
      </w:r>
    </w:p>
    <w:p w:rsidR="009F21EC" w:rsidRPr="00E4245D" w:rsidRDefault="009F21EC">
      <w:pPr>
        <w:rPr>
          <w:rFonts w:ascii="Times New Roman" w:hAnsi="Times New Roman" w:cs="Times New Roman"/>
          <w:sz w:val="24"/>
          <w:szCs w:val="24"/>
        </w:rPr>
      </w:pPr>
    </w:p>
    <w:p w:rsidR="005C6527" w:rsidRPr="00E4245D" w:rsidRDefault="00057AA6">
      <w:pPr>
        <w:rPr>
          <w:rFonts w:ascii="Times New Roman" w:hAnsi="Times New Roman" w:cs="Times New Roman"/>
          <w:sz w:val="24"/>
          <w:szCs w:val="24"/>
        </w:rPr>
      </w:pPr>
      <w:r w:rsidRPr="00E4245D">
        <w:rPr>
          <w:rFonts w:ascii="Times New Roman" w:hAnsi="Times New Roman" w:cs="Times New Roman"/>
          <w:sz w:val="24"/>
          <w:szCs w:val="24"/>
        </w:rPr>
        <w:t xml:space="preserve">Primary prevention is the actions that are aimed at avoiding spreading of disease which help to reduces the incident of </w:t>
      </w:r>
      <w:r w:rsidR="00CA656B" w:rsidRPr="00E4245D">
        <w:rPr>
          <w:rFonts w:ascii="Times New Roman" w:hAnsi="Times New Roman" w:cs="Times New Roman"/>
          <w:sz w:val="24"/>
          <w:szCs w:val="24"/>
        </w:rPr>
        <w:t>diseases. Primary</w:t>
      </w:r>
      <w:r w:rsidRPr="00E4245D">
        <w:rPr>
          <w:rFonts w:ascii="Times New Roman" w:hAnsi="Times New Roman" w:cs="Times New Roman"/>
          <w:sz w:val="24"/>
          <w:szCs w:val="24"/>
        </w:rPr>
        <w:t xml:space="preserve"> measures that help to prevent disease includes </w:t>
      </w:r>
      <w:r w:rsidR="00CA656B" w:rsidRPr="00E4245D">
        <w:rPr>
          <w:rFonts w:ascii="Times New Roman" w:hAnsi="Times New Roman" w:cs="Times New Roman"/>
          <w:sz w:val="24"/>
          <w:szCs w:val="24"/>
        </w:rPr>
        <w:t>nutritional</w:t>
      </w:r>
      <w:r w:rsidRPr="00E4245D">
        <w:rPr>
          <w:rFonts w:ascii="Times New Roman" w:hAnsi="Times New Roman" w:cs="Times New Roman"/>
          <w:sz w:val="24"/>
          <w:szCs w:val="24"/>
        </w:rPr>
        <w:t xml:space="preserve"> and food </w:t>
      </w:r>
      <w:r w:rsidR="00CA656B" w:rsidRPr="00E4245D">
        <w:rPr>
          <w:rFonts w:ascii="Times New Roman" w:hAnsi="Times New Roman" w:cs="Times New Roman"/>
          <w:sz w:val="24"/>
          <w:szCs w:val="24"/>
        </w:rPr>
        <w:t>supplementation,</w:t>
      </w:r>
      <w:r w:rsidRPr="00E4245D">
        <w:rPr>
          <w:rFonts w:ascii="Times New Roman" w:hAnsi="Times New Roman" w:cs="Times New Roman"/>
          <w:sz w:val="24"/>
          <w:szCs w:val="24"/>
        </w:rPr>
        <w:t xml:space="preserve"> </w:t>
      </w:r>
      <w:r w:rsidR="00CA656B" w:rsidRPr="00E4245D">
        <w:rPr>
          <w:rFonts w:ascii="Times New Roman" w:hAnsi="Times New Roman" w:cs="Times New Roman"/>
          <w:sz w:val="24"/>
          <w:szCs w:val="24"/>
        </w:rPr>
        <w:t>oral and dental hygiene educational activities and clinical preventions services such as vaccination of children adults and elderly and also immunizations.</w:t>
      </w:r>
    </w:p>
    <w:p w:rsidR="00CA656B" w:rsidRPr="00E4245D" w:rsidRDefault="00CA656B">
      <w:pPr>
        <w:rPr>
          <w:rFonts w:ascii="Times New Roman" w:hAnsi="Times New Roman" w:cs="Times New Roman"/>
          <w:sz w:val="24"/>
          <w:szCs w:val="24"/>
        </w:rPr>
      </w:pPr>
      <w:r w:rsidRPr="00E4245D">
        <w:rPr>
          <w:rFonts w:ascii="Times New Roman" w:hAnsi="Times New Roman" w:cs="Times New Roman"/>
          <w:sz w:val="24"/>
          <w:szCs w:val="24"/>
        </w:rPr>
        <w:t>Secondary prevention refers to the action of reducing the impact of diseases that as already occurred in the body of the living organism.</w:t>
      </w:r>
      <w:r w:rsidR="00956FFA" w:rsidRPr="00E4245D">
        <w:rPr>
          <w:rFonts w:ascii="Times New Roman" w:hAnsi="Times New Roman" w:cs="Times New Roman"/>
          <w:sz w:val="24"/>
          <w:szCs w:val="24"/>
        </w:rPr>
        <w:t xml:space="preserve"> Measures that are taken during secondary prevention include detecting and treating disease or injury to slow down the progress. Other measures include regular exams and screening to detect the diseases and daily exercise activities to prevent further heart attacks or strokes.</w:t>
      </w:r>
    </w:p>
    <w:p w:rsidR="00956FFA" w:rsidRPr="00E4245D" w:rsidRDefault="00956FFA">
      <w:pPr>
        <w:rPr>
          <w:rFonts w:ascii="Times New Roman" w:hAnsi="Times New Roman" w:cs="Times New Roman"/>
          <w:sz w:val="24"/>
          <w:szCs w:val="24"/>
        </w:rPr>
      </w:pPr>
      <w:r w:rsidRPr="00E4245D">
        <w:rPr>
          <w:rFonts w:ascii="Times New Roman" w:hAnsi="Times New Roman" w:cs="Times New Roman"/>
          <w:sz w:val="24"/>
          <w:szCs w:val="24"/>
        </w:rPr>
        <w:t xml:space="preserve">Tertiary prevention </w:t>
      </w:r>
      <w:r w:rsidR="00157815" w:rsidRPr="00E4245D">
        <w:rPr>
          <w:rFonts w:ascii="Times New Roman" w:hAnsi="Times New Roman" w:cs="Times New Roman"/>
          <w:sz w:val="24"/>
          <w:szCs w:val="24"/>
        </w:rPr>
        <w:t>involves</w:t>
      </w:r>
      <w:r w:rsidRPr="00E4245D">
        <w:rPr>
          <w:rFonts w:ascii="Times New Roman" w:hAnsi="Times New Roman" w:cs="Times New Roman"/>
          <w:sz w:val="24"/>
          <w:szCs w:val="24"/>
        </w:rPr>
        <w:t xml:space="preserve"> softening the impacts of ongoing illness or injury that has lasting </w:t>
      </w:r>
      <w:r w:rsidR="00157815" w:rsidRPr="00E4245D">
        <w:rPr>
          <w:rFonts w:ascii="Times New Roman" w:hAnsi="Times New Roman" w:cs="Times New Roman"/>
          <w:sz w:val="24"/>
          <w:szCs w:val="24"/>
        </w:rPr>
        <w:t>effects. In</w:t>
      </w:r>
      <w:r w:rsidRPr="00E4245D">
        <w:rPr>
          <w:rFonts w:ascii="Times New Roman" w:hAnsi="Times New Roman" w:cs="Times New Roman"/>
          <w:sz w:val="24"/>
          <w:szCs w:val="24"/>
        </w:rPr>
        <w:t xml:space="preserve"> tertiary prevention it is done to help people to manage </w:t>
      </w:r>
      <w:r w:rsidR="00157815" w:rsidRPr="00E4245D">
        <w:rPr>
          <w:rFonts w:ascii="Times New Roman" w:hAnsi="Times New Roman" w:cs="Times New Roman"/>
          <w:sz w:val="24"/>
          <w:szCs w:val="24"/>
        </w:rPr>
        <w:t>long – term and injuries. Measures that are taken to prevent tertiary diseases include stroke rehabilitation programs and chronic diseases management program and support groups that allow members to share strategies for living a better life.</w:t>
      </w:r>
    </w:p>
    <w:p w:rsidR="00157815" w:rsidRPr="00E4245D" w:rsidRDefault="00157815">
      <w:pPr>
        <w:rPr>
          <w:rFonts w:ascii="Times New Roman" w:hAnsi="Times New Roman" w:cs="Times New Roman"/>
          <w:sz w:val="24"/>
          <w:szCs w:val="24"/>
        </w:rPr>
      </w:pPr>
      <w:r w:rsidRPr="00E4245D">
        <w:rPr>
          <w:rFonts w:ascii="Times New Roman" w:hAnsi="Times New Roman" w:cs="Times New Roman"/>
          <w:sz w:val="24"/>
          <w:szCs w:val="24"/>
        </w:rPr>
        <w:t>Group insurances refers to</w:t>
      </w:r>
      <w:r w:rsidR="0075158A">
        <w:rPr>
          <w:rFonts w:ascii="Times New Roman" w:hAnsi="Times New Roman" w:cs="Times New Roman"/>
          <w:sz w:val="24"/>
          <w:szCs w:val="24"/>
        </w:rPr>
        <w:t xml:space="preserve"> a</w:t>
      </w:r>
      <w:r w:rsidR="0075158A" w:rsidRPr="00E4245D">
        <w:rPr>
          <w:rFonts w:ascii="Times New Roman" w:hAnsi="Times New Roman" w:cs="Times New Roman"/>
          <w:sz w:val="24"/>
          <w:szCs w:val="24"/>
        </w:rPr>
        <w:t xml:space="preserve"> type insurance</w:t>
      </w:r>
      <w:r w:rsidRPr="00E4245D">
        <w:rPr>
          <w:rFonts w:ascii="Times New Roman" w:hAnsi="Times New Roman" w:cs="Times New Roman"/>
          <w:sz w:val="24"/>
          <w:szCs w:val="24"/>
        </w:rPr>
        <w:t xml:space="preserve"> that cover a define group of people instead of an </w:t>
      </w:r>
      <w:r w:rsidR="00555C38" w:rsidRPr="00E4245D">
        <w:rPr>
          <w:rFonts w:ascii="Times New Roman" w:hAnsi="Times New Roman" w:cs="Times New Roman"/>
          <w:sz w:val="24"/>
          <w:szCs w:val="24"/>
        </w:rPr>
        <w:t>individual. It</w:t>
      </w:r>
      <w:r w:rsidRPr="00E4245D">
        <w:rPr>
          <w:rFonts w:ascii="Times New Roman" w:hAnsi="Times New Roman" w:cs="Times New Roman"/>
          <w:sz w:val="24"/>
          <w:szCs w:val="24"/>
        </w:rPr>
        <w:t xml:space="preserve"> is categories in two types the first on</w:t>
      </w:r>
      <w:r w:rsidR="0075158A">
        <w:rPr>
          <w:rFonts w:ascii="Times New Roman" w:hAnsi="Times New Roman" w:cs="Times New Roman"/>
          <w:sz w:val="24"/>
          <w:szCs w:val="24"/>
        </w:rPr>
        <w:t>e</w:t>
      </w:r>
      <w:r w:rsidRPr="00E4245D">
        <w:rPr>
          <w:rFonts w:ascii="Times New Roman" w:hAnsi="Times New Roman" w:cs="Times New Roman"/>
          <w:sz w:val="24"/>
          <w:szCs w:val="24"/>
        </w:rPr>
        <w:t xml:space="preserve"> is formal group that include of Employer and </w:t>
      </w:r>
      <w:r w:rsidR="00555C38" w:rsidRPr="00E4245D">
        <w:rPr>
          <w:rFonts w:ascii="Times New Roman" w:hAnsi="Times New Roman" w:cs="Times New Roman"/>
          <w:sz w:val="24"/>
          <w:szCs w:val="24"/>
        </w:rPr>
        <w:t xml:space="preserve">employee. The employer is responsible to buy the insurance plan to secure the employee and the second one is </w:t>
      </w:r>
      <w:r w:rsidR="009F21EC" w:rsidRPr="00E4245D">
        <w:rPr>
          <w:rFonts w:ascii="Times New Roman" w:hAnsi="Times New Roman" w:cs="Times New Roman"/>
          <w:sz w:val="24"/>
          <w:szCs w:val="24"/>
        </w:rPr>
        <w:t>that</w:t>
      </w:r>
      <w:r w:rsidR="00555C38" w:rsidRPr="00E4245D">
        <w:rPr>
          <w:rFonts w:ascii="Times New Roman" w:hAnsi="Times New Roman" w:cs="Times New Roman"/>
          <w:sz w:val="24"/>
          <w:szCs w:val="24"/>
        </w:rPr>
        <w:t xml:space="preserve"> informal group which include of Non-employer and Employee the administrator of the group usually the insurances to cover the members of the group.</w:t>
      </w:r>
    </w:p>
    <w:p w:rsidR="00555C38" w:rsidRPr="00E4245D" w:rsidRDefault="00555C38">
      <w:pPr>
        <w:rPr>
          <w:rFonts w:ascii="Times New Roman" w:hAnsi="Times New Roman" w:cs="Times New Roman"/>
          <w:sz w:val="24"/>
          <w:szCs w:val="24"/>
        </w:rPr>
      </w:pPr>
      <w:r w:rsidRPr="00E4245D">
        <w:rPr>
          <w:rFonts w:ascii="Times New Roman" w:hAnsi="Times New Roman" w:cs="Times New Roman"/>
          <w:sz w:val="24"/>
          <w:szCs w:val="24"/>
        </w:rPr>
        <w:t>Pesthous</w:t>
      </w:r>
      <w:r w:rsidR="009F21EC" w:rsidRPr="00E4245D">
        <w:rPr>
          <w:rFonts w:ascii="Times New Roman" w:hAnsi="Times New Roman" w:cs="Times New Roman"/>
          <w:sz w:val="24"/>
          <w:szCs w:val="24"/>
        </w:rPr>
        <w:t xml:space="preserve">e refers to a house or hospital where people suffering from infectious diseases were once confined and sometime </w:t>
      </w:r>
      <w:r w:rsidR="0075158A">
        <w:rPr>
          <w:rFonts w:ascii="Times New Roman" w:hAnsi="Times New Roman" w:cs="Times New Roman"/>
          <w:sz w:val="24"/>
          <w:szCs w:val="24"/>
        </w:rPr>
        <w:t>people</w:t>
      </w:r>
      <w:r w:rsidR="009F21EC" w:rsidRPr="00E4245D">
        <w:rPr>
          <w:rFonts w:ascii="Times New Roman" w:hAnsi="Times New Roman" w:cs="Times New Roman"/>
          <w:sz w:val="24"/>
          <w:szCs w:val="24"/>
        </w:rPr>
        <w:t xml:space="preserve"> are treated.</w:t>
      </w:r>
    </w:p>
    <w:p w:rsidR="009F21EC" w:rsidRPr="00E4245D" w:rsidRDefault="009F21EC">
      <w:pPr>
        <w:rPr>
          <w:rFonts w:ascii="Times New Roman" w:hAnsi="Times New Roman" w:cs="Times New Roman"/>
          <w:sz w:val="24"/>
          <w:szCs w:val="24"/>
        </w:rPr>
      </w:pPr>
    </w:p>
    <w:p w:rsidR="009F21EC" w:rsidRPr="00E4245D" w:rsidRDefault="009F21EC">
      <w:pPr>
        <w:rPr>
          <w:rFonts w:ascii="Times New Roman" w:hAnsi="Times New Roman" w:cs="Times New Roman"/>
          <w:sz w:val="24"/>
          <w:szCs w:val="24"/>
        </w:rPr>
      </w:pPr>
    </w:p>
    <w:p w:rsidR="009F21EC" w:rsidRPr="00E4245D" w:rsidRDefault="009F21EC">
      <w:pPr>
        <w:rPr>
          <w:rFonts w:ascii="Times New Roman" w:hAnsi="Times New Roman" w:cs="Times New Roman"/>
          <w:sz w:val="24"/>
          <w:szCs w:val="24"/>
        </w:rPr>
      </w:pPr>
    </w:p>
    <w:p w:rsidR="009F21EC" w:rsidRPr="00E4245D" w:rsidRDefault="009F21EC">
      <w:pPr>
        <w:rPr>
          <w:rFonts w:ascii="Times New Roman" w:hAnsi="Times New Roman" w:cs="Times New Roman"/>
          <w:sz w:val="24"/>
          <w:szCs w:val="24"/>
        </w:rPr>
      </w:pPr>
    </w:p>
    <w:p w:rsidR="009F21EC" w:rsidRPr="00E4245D" w:rsidRDefault="009F21EC">
      <w:pPr>
        <w:rPr>
          <w:rFonts w:ascii="Times New Roman" w:hAnsi="Times New Roman" w:cs="Times New Roman"/>
          <w:sz w:val="24"/>
          <w:szCs w:val="24"/>
        </w:rPr>
      </w:pPr>
    </w:p>
    <w:p w:rsidR="009F21EC" w:rsidRPr="00E4245D" w:rsidRDefault="009F21EC">
      <w:pPr>
        <w:rPr>
          <w:rFonts w:ascii="Times New Roman" w:hAnsi="Times New Roman" w:cs="Times New Roman"/>
          <w:sz w:val="24"/>
          <w:szCs w:val="24"/>
        </w:rPr>
      </w:pPr>
    </w:p>
    <w:p w:rsidR="009F21EC" w:rsidRPr="00E4245D" w:rsidRDefault="009F21EC">
      <w:pPr>
        <w:rPr>
          <w:rFonts w:ascii="Times New Roman" w:hAnsi="Times New Roman" w:cs="Times New Roman"/>
          <w:sz w:val="24"/>
          <w:szCs w:val="24"/>
        </w:rPr>
      </w:pPr>
      <w:r w:rsidRPr="00E4245D">
        <w:rPr>
          <w:rFonts w:ascii="Times New Roman" w:hAnsi="Times New Roman" w:cs="Times New Roman"/>
          <w:sz w:val="24"/>
          <w:szCs w:val="24"/>
        </w:rPr>
        <w:t>REFERENCE.</w:t>
      </w:r>
    </w:p>
    <w:p w:rsidR="009F21EC" w:rsidRPr="009F21EC" w:rsidRDefault="009F21EC" w:rsidP="009F21EC">
      <w:pPr>
        <w:spacing w:after="0" w:line="240" w:lineRule="auto"/>
        <w:rPr>
          <w:rFonts w:ascii="Times New Roman" w:eastAsia="Times New Roman" w:hAnsi="Times New Roman" w:cs="Times New Roman"/>
          <w:sz w:val="24"/>
          <w:szCs w:val="24"/>
        </w:rPr>
      </w:pPr>
      <w:r w:rsidRPr="009F21EC">
        <w:rPr>
          <w:rFonts w:ascii="Times New Roman" w:eastAsia="Times New Roman" w:hAnsi="Times New Roman" w:cs="Times New Roman"/>
          <w:sz w:val="24"/>
          <w:szCs w:val="24"/>
        </w:rPr>
        <w:t xml:space="preserve">Foster, J. G., Wood, S. K., Pfeffer, M. A., DeMets, D. L., Garber, A., &amp; Hennekens, C. H. (2018). ASPIRIN FOR PRIMARY PREVENTION IN PATIENTS WITH TYPE 2 DIABETES. </w:t>
      </w:r>
    </w:p>
    <w:p w:rsidR="009F21EC" w:rsidRPr="00E4245D" w:rsidRDefault="009F21EC">
      <w:pPr>
        <w:rPr>
          <w:rFonts w:ascii="Times New Roman" w:hAnsi="Times New Roman" w:cs="Times New Roman"/>
          <w:sz w:val="24"/>
          <w:szCs w:val="24"/>
        </w:rPr>
      </w:pPr>
    </w:p>
    <w:p w:rsidR="009F21EC" w:rsidRPr="00E4245D" w:rsidRDefault="009F21EC" w:rsidP="009F21EC">
      <w:pPr>
        <w:spacing w:after="0" w:line="240" w:lineRule="auto"/>
        <w:rPr>
          <w:rFonts w:ascii="Times New Roman" w:eastAsia="Times New Roman" w:hAnsi="Times New Roman" w:cs="Times New Roman"/>
          <w:sz w:val="24"/>
          <w:szCs w:val="24"/>
        </w:rPr>
      </w:pPr>
      <w:r w:rsidRPr="009F21EC">
        <w:rPr>
          <w:rFonts w:ascii="Times New Roman" w:eastAsia="Times New Roman" w:hAnsi="Times New Roman" w:cs="Times New Roman"/>
          <w:sz w:val="24"/>
          <w:szCs w:val="24"/>
        </w:rPr>
        <w:t xml:space="preserve">Rugge, M., Meggio, A., Pravadelli, C., Barbareschi, M., Fassan, M., Gentilini, M., ... &amp; Genta, R. M. (2018). Gastritis staging in the endoscopic follow-up for the secondary prevention of gastric cancer: a 5-year prospective study of 1755 patients. </w:t>
      </w:r>
    </w:p>
    <w:p w:rsidR="009F21EC" w:rsidRPr="00E4245D" w:rsidRDefault="009F21EC" w:rsidP="009F21EC">
      <w:pPr>
        <w:spacing w:after="0" w:line="240" w:lineRule="auto"/>
        <w:rPr>
          <w:rFonts w:ascii="Times New Roman" w:eastAsia="Times New Roman" w:hAnsi="Times New Roman" w:cs="Times New Roman"/>
          <w:sz w:val="24"/>
          <w:szCs w:val="24"/>
        </w:rPr>
      </w:pPr>
    </w:p>
    <w:p w:rsidR="009F21EC" w:rsidRPr="00E4245D" w:rsidRDefault="009F21EC" w:rsidP="009F21EC">
      <w:pPr>
        <w:spacing w:after="0" w:line="240" w:lineRule="auto"/>
        <w:rPr>
          <w:rFonts w:ascii="Times New Roman" w:eastAsia="Times New Roman" w:hAnsi="Times New Roman" w:cs="Times New Roman"/>
          <w:sz w:val="24"/>
          <w:szCs w:val="24"/>
        </w:rPr>
      </w:pPr>
      <w:r w:rsidRPr="009F21EC">
        <w:rPr>
          <w:rFonts w:ascii="Times New Roman" w:eastAsia="Times New Roman" w:hAnsi="Times New Roman" w:cs="Times New Roman"/>
          <w:sz w:val="24"/>
          <w:szCs w:val="24"/>
        </w:rPr>
        <w:t>Manosalva, H. A., Pio, F., Jeerakathil, T., Saqqur, M., Camicioli, R., &amp; Suchowersky, O. (2018). Vascular Parkinsonism in a Tertiary Care Stroke Prevention Clinic and the Development of a New Screening Strategy.</w:t>
      </w:r>
    </w:p>
    <w:p w:rsidR="00E4245D" w:rsidRPr="00E4245D" w:rsidRDefault="00E4245D" w:rsidP="009F21EC">
      <w:pPr>
        <w:spacing w:after="0" w:line="240" w:lineRule="auto"/>
        <w:rPr>
          <w:rFonts w:ascii="Times New Roman" w:eastAsia="Times New Roman" w:hAnsi="Times New Roman" w:cs="Times New Roman"/>
          <w:sz w:val="24"/>
          <w:szCs w:val="24"/>
        </w:rPr>
      </w:pPr>
    </w:p>
    <w:p w:rsidR="00E4245D" w:rsidRPr="00E4245D" w:rsidRDefault="00E4245D" w:rsidP="00E4245D">
      <w:pPr>
        <w:spacing w:after="0" w:line="240" w:lineRule="auto"/>
        <w:rPr>
          <w:rFonts w:ascii="Times New Roman" w:eastAsia="Times New Roman" w:hAnsi="Times New Roman" w:cs="Times New Roman"/>
          <w:sz w:val="24"/>
          <w:szCs w:val="24"/>
        </w:rPr>
      </w:pPr>
      <w:r w:rsidRPr="00E4245D">
        <w:rPr>
          <w:rFonts w:ascii="Times New Roman" w:eastAsia="Times New Roman" w:hAnsi="Times New Roman" w:cs="Times New Roman"/>
          <w:sz w:val="24"/>
          <w:szCs w:val="24"/>
        </w:rPr>
        <w:t>National Center for Health Statistics. (2018). NHIS Health Insurance Coverage Estimates-Table A: Percentage of Persons with Hospital Insurance and Surgical Insurance by A</w:t>
      </w:r>
      <w:r w:rsidR="0075158A">
        <w:rPr>
          <w:rFonts w:ascii="Times New Roman" w:eastAsia="Times New Roman" w:hAnsi="Times New Roman" w:cs="Times New Roman"/>
          <w:sz w:val="24"/>
          <w:szCs w:val="24"/>
        </w:rPr>
        <w:t>ge Group. 1959, 1963, and 1968.</w:t>
      </w:r>
    </w:p>
    <w:p w:rsidR="00E4245D" w:rsidRPr="00E4245D" w:rsidRDefault="00E4245D" w:rsidP="009F21EC">
      <w:pPr>
        <w:spacing w:after="0" w:line="240" w:lineRule="auto"/>
        <w:rPr>
          <w:rFonts w:ascii="Times New Roman" w:eastAsia="Times New Roman" w:hAnsi="Times New Roman" w:cs="Times New Roman"/>
          <w:sz w:val="24"/>
          <w:szCs w:val="24"/>
        </w:rPr>
      </w:pPr>
    </w:p>
    <w:p w:rsidR="00E4245D" w:rsidRPr="00E4245D" w:rsidRDefault="00E4245D" w:rsidP="009F21EC">
      <w:pPr>
        <w:spacing w:after="0" w:line="240" w:lineRule="auto"/>
        <w:rPr>
          <w:rFonts w:ascii="Times New Roman" w:eastAsia="Times New Roman" w:hAnsi="Times New Roman" w:cs="Times New Roman"/>
          <w:sz w:val="24"/>
          <w:szCs w:val="24"/>
        </w:rPr>
      </w:pPr>
    </w:p>
    <w:p w:rsidR="00E4245D" w:rsidRPr="00E4245D" w:rsidRDefault="00E4245D" w:rsidP="00E4245D">
      <w:pPr>
        <w:spacing w:after="0" w:line="240" w:lineRule="auto"/>
        <w:rPr>
          <w:rFonts w:ascii="Times New Roman" w:eastAsia="Times New Roman" w:hAnsi="Times New Roman" w:cs="Times New Roman"/>
          <w:sz w:val="24"/>
          <w:szCs w:val="24"/>
        </w:rPr>
      </w:pPr>
      <w:r w:rsidRPr="00E4245D">
        <w:rPr>
          <w:rFonts w:ascii="Times New Roman" w:eastAsia="Times New Roman" w:hAnsi="Times New Roman" w:cs="Times New Roman"/>
          <w:sz w:val="24"/>
          <w:szCs w:val="24"/>
        </w:rPr>
        <w:t>Moran, M. T. (2018). Guenter B. Risse. Driven by Fear: Epidemics and Isolation in San Francisco’s House of Pestilence.</w:t>
      </w:r>
    </w:p>
    <w:p w:rsidR="00E4245D" w:rsidRPr="00E4245D" w:rsidRDefault="00E4245D" w:rsidP="009F21EC">
      <w:pPr>
        <w:spacing w:after="0" w:line="240" w:lineRule="auto"/>
        <w:rPr>
          <w:rFonts w:ascii="Times New Roman" w:eastAsia="Times New Roman" w:hAnsi="Times New Roman" w:cs="Times New Roman"/>
          <w:sz w:val="24"/>
          <w:szCs w:val="24"/>
        </w:rPr>
      </w:pPr>
      <w:bookmarkStart w:id="0" w:name="_GoBack"/>
      <w:bookmarkEnd w:id="0"/>
    </w:p>
    <w:sectPr w:rsidR="00E4245D" w:rsidRPr="00E4245D" w:rsidSect="00E424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FFD" w:rsidRDefault="00B70FFD" w:rsidP="00E4245D">
      <w:pPr>
        <w:spacing w:after="0" w:line="240" w:lineRule="auto"/>
      </w:pPr>
      <w:r>
        <w:separator/>
      </w:r>
    </w:p>
  </w:endnote>
  <w:endnote w:type="continuationSeparator" w:id="0">
    <w:p w:rsidR="00B70FFD" w:rsidRDefault="00B70FFD" w:rsidP="00E42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FFD" w:rsidRDefault="00B70FFD" w:rsidP="00E4245D">
      <w:pPr>
        <w:spacing w:after="0" w:line="240" w:lineRule="auto"/>
      </w:pPr>
      <w:r>
        <w:separator/>
      </w:r>
    </w:p>
  </w:footnote>
  <w:footnote w:type="continuationSeparator" w:id="0">
    <w:p w:rsidR="00B70FFD" w:rsidRDefault="00B70FFD" w:rsidP="00E42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45D" w:rsidRPr="00E4245D" w:rsidRDefault="00E4245D">
    <w:pPr>
      <w:pStyle w:val="Header"/>
      <w:rPr>
        <w:rFonts w:ascii="Times New Roman" w:hAnsi="Times New Roman" w:cs="Times New Roman"/>
        <w:sz w:val="24"/>
        <w:szCs w:val="24"/>
      </w:rPr>
    </w:pPr>
    <w:r>
      <w:t xml:space="preserve">                                                                                                                                                                    </w:t>
    </w:r>
    <w:r w:rsidRPr="00E4245D">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45D" w:rsidRDefault="00E4245D">
    <w:pPr>
      <w:pStyle w:val="Header"/>
    </w:pPr>
    <w:r>
      <w:t xml:space="preserve">                                                                                                                                                                         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AA6"/>
    <w:rsid w:val="00057AA6"/>
    <w:rsid w:val="00157815"/>
    <w:rsid w:val="00555C38"/>
    <w:rsid w:val="005C6527"/>
    <w:rsid w:val="0075158A"/>
    <w:rsid w:val="00956FFA"/>
    <w:rsid w:val="009F21EC"/>
    <w:rsid w:val="00B70FFD"/>
    <w:rsid w:val="00CA656B"/>
    <w:rsid w:val="00E42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C11F9"/>
  <w15:chartTrackingRefBased/>
  <w15:docId w15:val="{3000BBCE-3A3A-4D7F-B421-12D77B27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45D"/>
  </w:style>
  <w:style w:type="paragraph" w:styleId="Footer">
    <w:name w:val="footer"/>
    <w:basedOn w:val="Normal"/>
    <w:link w:val="FooterChar"/>
    <w:uiPriority w:val="99"/>
    <w:unhideWhenUsed/>
    <w:rsid w:val="00E42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1284">
      <w:bodyDiv w:val="1"/>
      <w:marLeft w:val="0"/>
      <w:marRight w:val="0"/>
      <w:marTop w:val="0"/>
      <w:marBottom w:val="0"/>
      <w:divBdr>
        <w:top w:val="none" w:sz="0" w:space="0" w:color="auto"/>
        <w:left w:val="none" w:sz="0" w:space="0" w:color="auto"/>
        <w:bottom w:val="none" w:sz="0" w:space="0" w:color="auto"/>
        <w:right w:val="none" w:sz="0" w:space="0" w:color="auto"/>
      </w:divBdr>
      <w:divsChild>
        <w:div w:id="1389955479">
          <w:marLeft w:val="0"/>
          <w:marRight w:val="0"/>
          <w:marTop w:val="0"/>
          <w:marBottom w:val="0"/>
          <w:divBdr>
            <w:top w:val="none" w:sz="0" w:space="0" w:color="auto"/>
            <w:left w:val="none" w:sz="0" w:space="0" w:color="auto"/>
            <w:bottom w:val="none" w:sz="0" w:space="0" w:color="auto"/>
            <w:right w:val="none" w:sz="0" w:space="0" w:color="auto"/>
          </w:divBdr>
        </w:div>
      </w:divsChild>
    </w:div>
    <w:div w:id="320351209">
      <w:bodyDiv w:val="1"/>
      <w:marLeft w:val="0"/>
      <w:marRight w:val="0"/>
      <w:marTop w:val="0"/>
      <w:marBottom w:val="0"/>
      <w:divBdr>
        <w:top w:val="none" w:sz="0" w:space="0" w:color="auto"/>
        <w:left w:val="none" w:sz="0" w:space="0" w:color="auto"/>
        <w:bottom w:val="none" w:sz="0" w:space="0" w:color="auto"/>
        <w:right w:val="none" w:sz="0" w:space="0" w:color="auto"/>
      </w:divBdr>
      <w:divsChild>
        <w:div w:id="1874420573">
          <w:marLeft w:val="0"/>
          <w:marRight w:val="0"/>
          <w:marTop w:val="0"/>
          <w:marBottom w:val="0"/>
          <w:divBdr>
            <w:top w:val="none" w:sz="0" w:space="0" w:color="auto"/>
            <w:left w:val="none" w:sz="0" w:space="0" w:color="auto"/>
            <w:bottom w:val="none" w:sz="0" w:space="0" w:color="auto"/>
            <w:right w:val="none" w:sz="0" w:space="0" w:color="auto"/>
          </w:divBdr>
        </w:div>
      </w:divsChild>
    </w:div>
    <w:div w:id="822043312">
      <w:bodyDiv w:val="1"/>
      <w:marLeft w:val="0"/>
      <w:marRight w:val="0"/>
      <w:marTop w:val="0"/>
      <w:marBottom w:val="0"/>
      <w:divBdr>
        <w:top w:val="none" w:sz="0" w:space="0" w:color="auto"/>
        <w:left w:val="none" w:sz="0" w:space="0" w:color="auto"/>
        <w:bottom w:val="none" w:sz="0" w:space="0" w:color="auto"/>
        <w:right w:val="none" w:sz="0" w:space="0" w:color="auto"/>
      </w:divBdr>
      <w:divsChild>
        <w:div w:id="1458261802">
          <w:marLeft w:val="0"/>
          <w:marRight w:val="0"/>
          <w:marTop w:val="0"/>
          <w:marBottom w:val="0"/>
          <w:divBdr>
            <w:top w:val="none" w:sz="0" w:space="0" w:color="auto"/>
            <w:left w:val="none" w:sz="0" w:space="0" w:color="auto"/>
            <w:bottom w:val="none" w:sz="0" w:space="0" w:color="auto"/>
            <w:right w:val="none" w:sz="0" w:space="0" w:color="auto"/>
          </w:divBdr>
        </w:div>
      </w:divsChild>
    </w:div>
    <w:div w:id="1384479476">
      <w:bodyDiv w:val="1"/>
      <w:marLeft w:val="0"/>
      <w:marRight w:val="0"/>
      <w:marTop w:val="0"/>
      <w:marBottom w:val="0"/>
      <w:divBdr>
        <w:top w:val="none" w:sz="0" w:space="0" w:color="auto"/>
        <w:left w:val="none" w:sz="0" w:space="0" w:color="auto"/>
        <w:bottom w:val="none" w:sz="0" w:space="0" w:color="auto"/>
        <w:right w:val="none" w:sz="0" w:space="0" w:color="auto"/>
      </w:divBdr>
      <w:divsChild>
        <w:div w:id="404887379">
          <w:marLeft w:val="0"/>
          <w:marRight w:val="0"/>
          <w:marTop w:val="0"/>
          <w:marBottom w:val="0"/>
          <w:divBdr>
            <w:top w:val="none" w:sz="0" w:space="0" w:color="auto"/>
            <w:left w:val="none" w:sz="0" w:space="0" w:color="auto"/>
            <w:bottom w:val="none" w:sz="0" w:space="0" w:color="auto"/>
            <w:right w:val="none" w:sz="0" w:space="0" w:color="auto"/>
          </w:divBdr>
        </w:div>
      </w:divsChild>
    </w:div>
    <w:div w:id="1906452353">
      <w:bodyDiv w:val="1"/>
      <w:marLeft w:val="0"/>
      <w:marRight w:val="0"/>
      <w:marTop w:val="0"/>
      <w:marBottom w:val="0"/>
      <w:divBdr>
        <w:top w:val="none" w:sz="0" w:space="0" w:color="auto"/>
        <w:left w:val="none" w:sz="0" w:space="0" w:color="auto"/>
        <w:bottom w:val="none" w:sz="0" w:space="0" w:color="auto"/>
        <w:right w:val="none" w:sz="0" w:space="0" w:color="auto"/>
      </w:divBdr>
      <w:divsChild>
        <w:div w:id="286009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amos kamau</cp:lastModifiedBy>
  <cp:revision>1</cp:revision>
  <dcterms:created xsi:type="dcterms:W3CDTF">2018-08-26T23:07:00Z</dcterms:created>
  <dcterms:modified xsi:type="dcterms:W3CDTF">2018-08-27T00:28:00Z</dcterms:modified>
</cp:coreProperties>
</file>